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09" w:rsidRDefault="000D1809" w:rsidP="00AA019B">
      <w:pPr>
        <w:pStyle w:val="a4"/>
        <w:pBdr>
          <w:bottom w:val="single" w:sz="12" w:space="1" w:color="auto"/>
        </w:pBdr>
        <w:jc w:val="center"/>
        <w:rPr>
          <w:b/>
        </w:rPr>
      </w:pPr>
    </w:p>
    <w:p w:rsidR="00A62EE3" w:rsidRDefault="00AA019B" w:rsidP="00AA019B">
      <w:pPr>
        <w:pStyle w:val="a4"/>
        <w:pBdr>
          <w:bottom w:val="single" w:sz="12" w:space="1" w:color="auto"/>
        </w:pBdr>
        <w:jc w:val="center"/>
        <w:rPr>
          <w:b/>
          <w:lang w:val="uk-UA"/>
        </w:rPr>
      </w:pPr>
      <w:proofErr w:type="spellStart"/>
      <w:r w:rsidRPr="00AA019B">
        <w:rPr>
          <w:b/>
          <w:lang w:val="uk-UA"/>
        </w:rPr>
        <w:t>Обгру</w:t>
      </w:r>
      <w:r w:rsidR="0065141F">
        <w:rPr>
          <w:b/>
          <w:lang w:val="uk-UA"/>
        </w:rPr>
        <w:t>нтування</w:t>
      </w:r>
      <w:proofErr w:type="spellEnd"/>
      <w:r w:rsidR="0065141F">
        <w:rPr>
          <w:b/>
          <w:lang w:val="uk-UA"/>
        </w:rPr>
        <w:t xml:space="preserve">  </w:t>
      </w:r>
      <w:r w:rsidR="00B6772A">
        <w:rPr>
          <w:b/>
          <w:lang w:val="uk-UA"/>
        </w:rPr>
        <w:t>АТ «ЧЕРНІГІВОБЛЕНЕРГО</w:t>
      </w:r>
      <w:r w:rsidRPr="00AA019B">
        <w:rPr>
          <w:b/>
          <w:lang w:val="uk-UA"/>
        </w:rPr>
        <w:t>» щодо проекту тарифів на послуги з розподілу електричної</w:t>
      </w:r>
      <w:r w:rsidR="00052745">
        <w:rPr>
          <w:b/>
          <w:lang w:val="uk-UA"/>
        </w:rPr>
        <w:t xml:space="preserve"> енергії </w:t>
      </w:r>
      <w:r w:rsidR="00B2149C">
        <w:rPr>
          <w:b/>
          <w:lang w:val="uk-UA"/>
        </w:rPr>
        <w:t xml:space="preserve">в разі застосування стимулюючого регулювання </w:t>
      </w:r>
      <w:r w:rsidR="002A3D66">
        <w:rPr>
          <w:b/>
          <w:lang w:val="uk-UA"/>
        </w:rPr>
        <w:t>з 01.01.2022</w:t>
      </w:r>
      <w:r w:rsidRPr="00AA019B">
        <w:rPr>
          <w:b/>
          <w:lang w:val="uk-UA"/>
        </w:rPr>
        <w:t xml:space="preserve"> року</w:t>
      </w:r>
    </w:p>
    <w:p w:rsidR="00D06961" w:rsidRPr="00B7319D" w:rsidRDefault="001300AD" w:rsidP="00B731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вимог постанови Національної комісії, що здійснює державне регулювання у сферах енергетики та комунальних послуг (далі НКРЕКП) від 30.06.2017 року № 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</w:t>
      </w:r>
      <w:r w:rsidR="009D0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льних послуг» </w:t>
      </w:r>
      <w:r w:rsidRPr="00C6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 </w:t>
      </w:r>
      <w:r w:rsidR="00B97219" w:rsidRPr="00C6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«ЧЕРНІГІВОБЛЕНЕРГО» </w:t>
      </w:r>
      <w:r w:rsidRPr="00C6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оприлюднює проект тарифів на послуги з розподілу електричної енергії</w:t>
      </w:r>
      <w:r w:rsidR="00B2149C" w:rsidRPr="00C6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разі застосування стимулюючого регулювання</w:t>
      </w:r>
      <w:r w:rsidR="000F28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01.01.2012 року</w:t>
      </w:r>
      <w:r w:rsidRPr="00C662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для їх обговорення з представниками організацій, що представляють інтереси споживачів, громадських організацій, засобів масової інформації та іншими зацікавленими особами.</w:t>
      </w:r>
    </w:p>
    <w:p w:rsidR="00EF12DE" w:rsidRPr="00C66240" w:rsidRDefault="00765997" w:rsidP="00C662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01.01.2021 </w:t>
      </w:r>
      <w:r w:rsidR="001E12F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року АТ «ЧЕРНІГІВОБЛЕНЕРГО» </w:t>
      </w:r>
      <w:r w:rsidR="00E56EA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були затверджені тарифи на послуги з розподілу електричної енергії із застосуванням стимулюючого </w:t>
      </w:r>
      <w:r w:rsidR="004D6762">
        <w:rPr>
          <w:rFonts w:ascii="Times New Roman" w:hAnsi="Times New Roman" w:cs="Times New Roman"/>
          <w:sz w:val="24"/>
          <w:szCs w:val="24"/>
          <w:lang w:val="uk-UA" w:eastAsia="ru-RU"/>
        </w:rPr>
        <w:t>регулювання.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E3CEE" w:rsidRPr="00C6624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Стимулююче регулювання – це система </w:t>
      </w:r>
      <w:proofErr w:type="spellStart"/>
      <w:r w:rsidR="008E3CEE" w:rsidRPr="00C66240">
        <w:rPr>
          <w:rFonts w:ascii="Times New Roman" w:hAnsi="Times New Roman" w:cs="Times New Roman"/>
          <w:sz w:val="24"/>
          <w:szCs w:val="24"/>
          <w:lang w:val="uk-UA" w:eastAsia="ru-RU"/>
        </w:rPr>
        <w:t>тарифоутворення</w:t>
      </w:r>
      <w:proofErr w:type="spellEnd"/>
      <w:r w:rsidR="008E3CEE" w:rsidRPr="00C6624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основі довгострокового регулювання тарифів, спрямованого на залучення інвестицій для будівництва та модернізації інфраструктури </w:t>
      </w:r>
      <w:r w:rsidR="00A26AB3" w:rsidRPr="00C6624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електричних мереж та стимулювання ефективності витрат енергорозподільчих компаній. Стимулююче регулювання передбачає встановлення величини необхідного доходу в залежності від досягнення встановлених показників надійності електропостачання та якості обслуговування споживачів. </w:t>
      </w:r>
      <w:r w:rsidR="00EF12DE" w:rsidRPr="00C66240">
        <w:rPr>
          <w:rFonts w:ascii="Times New Roman" w:hAnsi="Times New Roman" w:cs="Times New Roman"/>
          <w:sz w:val="24"/>
          <w:szCs w:val="24"/>
          <w:lang w:val="uk-UA"/>
        </w:rPr>
        <w:t>Застосування стимулюючого регулювання вдосконалює систему державного контролю шляхом встановлення однакових параметрів регулювання, що</w:t>
      </w:r>
      <w:r w:rsidR="00C66240">
        <w:rPr>
          <w:rFonts w:ascii="Times New Roman" w:hAnsi="Times New Roman" w:cs="Times New Roman"/>
          <w:sz w:val="24"/>
          <w:szCs w:val="24"/>
          <w:lang w:val="uk-UA"/>
        </w:rPr>
        <w:t xml:space="preserve"> мають довготривалий термін дії, </w:t>
      </w:r>
      <w:r w:rsidR="00EF12DE" w:rsidRPr="00C66240">
        <w:rPr>
          <w:rFonts w:ascii="Times New Roman" w:hAnsi="Times New Roman" w:cs="Times New Roman"/>
          <w:sz w:val="24"/>
          <w:szCs w:val="24"/>
          <w:lang w:val="uk-UA"/>
        </w:rPr>
        <w:t>створює стимули для підвищення енергоефективності, залучення інвестицій та оновлення основних фондів, підвищує якість надання послуг з енергопостачання та оптимізує тарифи на електричну енергію.</w:t>
      </w:r>
    </w:p>
    <w:p w:rsidR="00EF12DE" w:rsidRPr="007B51F4" w:rsidRDefault="00D03DDD" w:rsidP="00C66240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Перехід </w:t>
      </w:r>
      <w:r w:rsidR="00EF12DE" w:rsidRPr="0012706B">
        <w:rPr>
          <w:rFonts w:ascii="Times New Roman" w:hAnsi="Times New Roman" w:cs="Times New Roman"/>
          <w:sz w:val="24"/>
          <w:szCs w:val="24"/>
          <w:lang w:val="uk-UA"/>
        </w:rPr>
        <w:t xml:space="preserve"> на стимулююче регулювання</w:t>
      </w:r>
      <w:r w:rsidR="00937064">
        <w:rPr>
          <w:rFonts w:ascii="Times New Roman" w:hAnsi="Times New Roman" w:cs="Times New Roman"/>
          <w:sz w:val="24"/>
          <w:szCs w:val="24"/>
          <w:lang w:val="uk-UA"/>
        </w:rPr>
        <w:t xml:space="preserve"> дав можливість </w:t>
      </w:r>
      <w:r w:rsidR="00897D13">
        <w:rPr>
          <w:rFonts w:ascii="Times New Roman" w:hAnsi="Times New Roman" w:cs="Times New Roman"/>
          <w:sz w:val="24"/>
          <w:szCs w:val="24"/>
          <w:lang w:val="uk-UA"/>
        </w:rPr>
        <w:t xml:space="preserve">Товариству  </w:t>
      </w:r>
      <w:r w:rsidR="00EF12DE" w:rsidRPr="0012706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2706B">
        <w:rPr>
          <w:rFonts w:ascii="Times New Roman" w:hAnsi="Times New Roman" w:cs="Times New Roman"/>
          <w:sz w:val="24"/>
          <w:szCs w:val="24"/>
          <w:lang w:val="uk-UA"/>
        </w:rPr>
        <w:t>більшит</w:t>
      </w:r>
      <w:r w:rsidR="0093706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F12DE" w:rsidRPr="0012706B">
        <w:rPr>
          <w:rFonts w:ascii="Times New Roman" w:hAnsi="Times New Roman" w:cs="Times New Roman"/>
          <w:sz w:val="24"/>
          <w:szCs w:val="24"/>
          <w:lang w:val="uk-UA"/>
        </w:rPr>
        <w:t xml:space="preserve"> обсяг інвестиційної програми. </w:t>
      </w:r>
      <w:r w:rsidR="00EF12DE" w:rsidRPr="007B51F4">
        <w:rPr>
          <w:rFonts w:ascii="Times New Roman" w:hAnsi="Times New Roman" w:cs="Times New Roman"/>
          <w:sz w:val="24"/>
          <w:szCs w:val="24"/>
          <w:lang w:val="uk-UA"/>
        </w:rPr>
        <w:t xml:space="preserve">Дані кошти </w:t>
      </w:r>
      <w:r w:rsidR="00937064" w:rsidRPr="007B51F4">
        <w:rPr>
          <w:rFonts w:ascii="Times New Roman" w:hAnsi="Times New Roman" w:cs="Times New Roman"/>
          <w:sz w:val="24"/>
          <w:szCs w:val="24"/>
          <w:lang w:val="uk-UA"/>
        </w:rPr>
        <w:t>бу</w:t>
      </w:r>
      <w:r w:rsidR="00937064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="00EF12DE" w:rsidRPr="007B51F4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спрямовані на модернізацію і розвиток електричних мереж, що</w:t>
      </w:r>
      <w:r w:rsidR="007B51F4">
        <w:rPr>
          <w:rFonts w:ascii="Times New Roman" w:hAnsi="Times New Roman" w:cs="Times New Roman"/>
          <w:sz w:val="24"/>
          <w:szCs w:val="24"/>
          <w:lang w:val="uk-UA"/>
        </w:rPr>
        <w:t xml:space="preserve"> в свою чергу дасть можливість </w:t>
      </w:r>
      <w:r w:rsidR="007B51F4" w:rsidRPr="007B51F4">
        <w:rPr>
          <w:rFonts w:ascii="Times New Roman" w:hAnsi="Times New Roman" w:cs="Times New Roman"/>
          <w:sz w:val="24"/>
          <w:szCs w:val="24"/>
          <w:lang w:val="uk-UA"/>
        </w:rPr>
        <w:t>покращит</w:t>
      </w:r>
      <w:r w:rsidR="007B51F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F12DE" w:rsidRPr="007B51F4">
        <w:rPr>
          <w:rFonts w:ascii="Times New Roman" w:hAnsi="Times New Roman" w:cs="Times New Roman"/>
          <w:sz w:val="24"/>
          <w:szCs w:val="24"/>
          <w:lang w:val="uk-UA"/>
        </w:rPr>
        <w:t xml:space="preserve"> якість та надійність електропостачання </w:t>
      </w:r>
      <w:r w:rsidR="007B51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2DE" w:rsidRPr="007B51F4">
        <w:rPr>
          <w:rFonts w:ascii="Times New Roman" w:hAnsi="Times New Roman" w:cs="Times New Roman"/>
          <w:sz w:val="24"/>
          <w:szCs w:val="24"/>
          <w:lang w:val="uk-UA"/>
        </w:rPr>
        <w:t xml:space="preserve">споживачів </w:t>
      </w:r>
      <w:r w:rsidR="007B51F4">
        <w:rPr>
          <w:rFonts w:ascii="Times New Roman" w:hAnsi="Times New Roman" w:cs="Times New Roman"/>
          <w:sz w:val="24"/>
          <w:szCs w:val="24"/>
          <w:lang w:val="uk-UA"/>
        </w:rPr>
        <w:t xml:space="preserve">Чернігівської </w:t>
      </w:r>
      <w:r w:rsidR="00EF12DE" w:rsidRPr="007B51F4">
        <w:rPr>
          <w:rFonts w:ascii="Times New Roman" w:hAnsi="Times New Roman" w:cs="Times New Roman"/>
          <w:sz w:val="24"/>
          <w:szCs w:val="24"/>
          <w:lang w:val="uk-UA"/>
        </w:rPr>
        <w:t>області.</w:t>
      </w:r>
    </w:p>
    <w:p w:rsidR="00EF12DE" w:rsidRDefault="003140A2" w:rsidP="007B51F4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Застосування</w:t>
      </w:r>
      <w:r w:rsidR="007F59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стимулюючого</w:t>
      </w:r>
      <w:proofErr w:type="spellEnd"/>
      <w:r w:rsidR="007F5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F4">
        <w:rPr>
          <w:rFonts w:ascii="Times New Roman" w:hAnsi="Times New Roman" w:cs="Times New Roman"/>
          <w:sz w:val="24"/>
          <w:szCs w:val="24"/>
          <w:lang w:val="uk-UA"/>
        </w:rPr>
        <w:t>тарифоутворення</w:t>
      </w:r>
      <w:proofErr w:type="spellEnd"/>
      <w:r w:rsidR="007F59F4">
        <w:rPr>
          <w:rFonts w:ascii="Times New Roman" w:hAnsi="Times New Roman" w:cs="Times New Roman"/>
          <w:sz w:val="24"/>
          <w:szCs w:val="24"/>
          <w:lang w:val="uk-UA"/>
        </w:rPr>
        <w:t xml:space="preserve"> також передбачає </w:t>
      </w:r>
      <w:r w:rsidR="00EF12DE"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DE" w:rsidRPr="00C66240">
        <w:rPr>
          <w:rFonts w:ascii="Times New Roman" w:hAnsi="Times New Roman" w:cs="Times New Roman"/>
          <w:sz w:val="24"/>
          <w:szCs w:val="24"/>
        </w:rPr>
        <w:t>щорічне</w:t>
      </w:r>
      <w:proofErr w:type="spellEnd"/>
      <w:r w:rsidR="00EF12DE"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DE" w:rsidRPr="00C66240">
        <w:rPr>
          <w:rFonts w:ascii="Times New Roman" w:hAnsi="Times New Roman" w:cs="Times New Roman"/>
          <w:sz w:val="24"/>
          <w:szCs w:val="24"/>
        </w:rPr>
        <w:t>скорочення</w:t>
      </w:r>
      <w:proofErr w:type="spellEnd"/>
      <w:r w:rsidR="00EF12DE"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DE" w:rsidRPr="00C66240">
        <w:rPr>
          <w:rFonts w:ascii="Times New Roman" w:hAnsi="Times New Roman" w:cs="Times New Roman"/>
          <w:sz w:val="24"/>
          <w:szCs w:val="24"/>
        </w:rPr>
        <w:t>операційних</w:t>
      </w:r>
      <w:proofErr w:type="spellEnd"/>
      <w:r w:rsidR="00EF12DE"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DE" w:rsidRPr="00C66240">
        <w:rPr>
          <w:rFonts w:ascii="Times New Roman" w:hAnsi="Times New Roman" w:cs="Times New Roman"/>
          <w:sz w:val="24"/>
          <w:szCs w:val="24"/>
        </w:rPr>
        <w:t>контрольованих</w:t>
      </w:r>
      <w:proofErr w:type="spellEnd"/>
      <w:r w:rsidR="00EF12DE" w:rsidRPr="00C66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2DE" w:rsidRPr="00C66240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EF12DE" w:rsidRPr="00C66240">
        <w:rPr>
          <w:rFonts w:ascii="Times New Roman" w:hAnsi="Times New Roman" w:cs="Times New Roman"/>
          <w:sz w:val="24"/>
          <w:szCs w:val="24"/>
        </w:rPr>
        <w:t>.</w:t>
      </w:r>
    </w:p>
    <w:p w:rsidR="003140A2" w:rsidRDefault="003140A2" w:rsidP="00D03DDD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77FD" w:rsidRDefault="00B477FD" w:rsidP="00D03DDD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тарифів </w:t>
      </w:r>
      <w:r w:rsidRPr="00B477FD">
        <w:rPr>
          <w:rFonts w:ascii="Times New Roman" w:hAnsi="Times New Roman" w:cs="Times New Roman"/>
          <w:sz w:val="24"/>
          <w:szCs w:val="24"/>
          <w:lang w:val="uk-UA"/>
        </w:rPr>
        <w:t>на послуги з розподілу електричної енергії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2022 рік зроблено на підставі наступних нормативних документів:</w:t>
      </w:r>
    </w:p>
    <w:p w:rsidR="00EF12DE" w:rsidRPr="00B34D4C" w:rsidRDefault="00B34D4C" w:rsidP="00B34D4C">
      <w:pPr>
        <w:pStyle w:val="a6"/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4D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Постанови</w:t>
      </w:r>
      <w:r w:rsidR="00EF12DE" w:rsidRPr="00B34D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НКРЕКП від 05.10.2018 № 1175 "Про затвердження Порядку встановлення (формування) тарифів на послуги з розподілу електричної енергії</w:t>
      </w:r>
      <w:r w:rsidRPr="00B34D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 (зі змінами);</w:t>
      </w:r>
    </w:p>
    <w:p w:rsidR="00EF12DE" w:rsidRPr="00C66240" w:rsidRDefault="00B34D4C" w:rsidP="00B34D4C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Постанови НКРЕ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26.07.2013 № 1029 "Про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застосування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стимулюючого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передачі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електричної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енергії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місцевими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локальними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електричними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мережами"; </w:t>
      </w:r>
    </w:p>
    <w:p w:rsidR="00EF12DE" w:rsidRPr="00C66240" w:rsidRDefault="00B34D4C" w:rsidP="00B34D4C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Постанови НКРЕ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11.07.2013 № 899 "</w:t>
      </w:r>
      <w:r w:rsidR="00D52C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затвердження </w:t>
      </w:r>
      <w:r w:rsidR="00D52C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Поряд</w:t>
      </w:r>
      <w:r w:rsidR="00D52C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ку</w:t>
      </w:r>
      <w:bookmarkStart w:id="0" w:name="_GoBack"/>
      <w:bookmarkEnd w:id="0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регуляторної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бази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активів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суб'єктів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природних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монополій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електроенергетики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";</w:t>
      </w:r>
    </w:p>
    <w:p w:rsidR="00EF12DE" w:rsidRPr="00B34D4C" w:rsidRDefault="00B34D4C" w:rsidP="00B34D4C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Постанови НКРЕ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23.07.2013 № 1009 "Про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встановлення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параметрів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мають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довгостроковий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строк </w:t>
      </w:r>
      <w:proofErr w:type="spellStart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proofErr w:type="spellEnd"/>
      <w:r w:rsidR="00EF12DE" w:rsidRPr="00C662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стимулюючого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EF12DE" w:rsidRPr="00B34D4C" w:rsidRDefault="00B34D4C" w:rsidP="00B34D4C">
      <w:pPr>
        <w:numPr>
          <w:ilvl w:val="0"/>
          <w:numId w:val="2"/>
        </w:numPr>
        <w:spacing w:after="6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3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D4C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B3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D4C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B3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D4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3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D4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34D4C">
        <w:rPr>
          <w:rFonts w:ascii="Times New Roman" w:hAnsi="Times New Roman" w:cs="Times New Roman"/>
          <w:sz w:val="24"/>
          <w:szCs w:val="24"/>
        </w:rPr>
        <w:t xml:space="preserve"> </w:t>
      </w:r>
      <w:r w:rsidRPr="00B34D4C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B34D4C">
        <w:rPr>
          <w:rFonts w:ascii="Times New Roman" w:hAnsi="Times New Roman" w:cs="Times New Roman"/>
          <w:sz w:val="24"/>
          <w:szCs w:val="24"/>
        </w:rPr>
        <w:t xml:space="preserve"> </w:t>
      </w:r>
      <w:r w:rsidRPr="00B34D4C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Pr="00B34D4C">
        <w:rPr>
          <w:rFonts w:ascii="Times New Roman" w:hAnsi="Times New Roman" w:cs="Times New Roman"/>
          <w:sz w:val="24"/>
          <w:szCs w:val="24"/>
        </w:rPr>
        <w:t xml:space="preserve"> 20</w:t>
      </w:r>
      <w:r w:rsidRPr="00B34D4C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B34D4C">
        <w:rPr>
          <w:rFonts w:ascii="Times New Roman" w:hAnsi="Times New Roman" w:cs="Times New Roman"/>
          <w:sz w:val="24"/>
          <w:szCs w:val="24"/>
        </w:rPr>
        <w:t xml:space="preserve"> року №</w:t>
      </w:r>
      <w:r w:rsidRPr="00B34D4C">
        <w:rPr>
          <w:rFonts w:ascii="Times New Roman" w:hAnsi="Times New Roman" w:cs="Times New Roman"/>
          <w:sz w:val="24"/>
          <w:szCs w:val="24"/>
          <w:lang w:val="uk-UA"/>
        </w:rPr>
        <w:t xml:space="preserve"> 586</w:t>
      </w:r>
      <w:r w:rsidRPr="00B34D4C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34D4C">
        <w:rPr>
          <w:rFonts w:ascii="Times New Roman" w:hAnsi="Times New Roman" w:cs="Times New Roman"/>
          <w:sz w:val="24"/>
          <w:szCs w:val="24"/>
        </w:rPr>
        <w:t>схвалення</w:t>
      </w:r>
      <w:proofErr w:type="spellEnd"/>
      <w:r w:rsidRPr="00B34D4C">
        <w:rPr>
          <w:rFonts w:ascii="Times New Roman" w:hAnsi="Times New Roman" w:cs="Times New Roman"/>
          <w:sz w:val="24"/>
          <w:szCs w:val="24"/>
        </w:rPr>
        <w:t xml:space="preserve"> Прогнозу </w:t>
      </w:r>
      <w:proofErr w:type="spellStart"/>
      <w:r w:rsidRPr="00B34D4C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B34D4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34D4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3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D4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3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D4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34D4C">
        <w:rPr>
          <w:rFonts w:ascii="Times New Roman" w:hAnsi="Times New Roman" w:cs="Times New Roman"/>
          <w:sz w:val="24"/>
          <w:szCs w:val="24"/>
        </w:rPr>
        <w:t xml:space="preserve"> на 202</w:t>
      </w:r>
      <w:r w:rsidRPr="00B34D4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34D4C">
        <w:rPr>
          <w:rFonts w:ascii="Times New Roman" w:hAnsi="Times New Roman" w:cs="Times New Roman"/>
          <w:sz w:val="24"/>
          <w:szCs w:val="24"/>
        </w:rPr>
        <w:t>-202</w:t>
      </w:r>
      <w:r w:rsidRPr="00B34D4C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роки»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5FF6" w:rsidRDefault="007E5FF6" w:rsidP="004A096D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Прибуток, що включено до необхідного доходу, становить 3% на регуляторну базу активів, яка створена на дату переходу до стимулюючого регулювання, та 16,74 на регуляторну базу активів, яка створена після переходу на стимулююче регулювання відповідно до постанови НКРЕ від 23.07.2013 № 1009. </w:t>
      </w:r>
    </w:p>
    <w:p w:rsidR="007E5FF6" w:rsidRPr="007E5FF6" w:rsidRDefault="007E5FF6" w:rsidP="00EF12D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7075" w:rsidRDefault="00565F20" w:rsidP="00EF12DE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Розрахункові рівні тарифів на послуги з розподілу електричної енергії </w:t>
      </w:r>
      <w:r w:rsidR="007E5FF6">
        <w:rPr>
          <w:rFonts w:ascii="Times New Roman" w:hAnsi="Times New Roman" w:cs="Times New Roman"/>
          <w:sz w:val="24"/>
          <w:szCs w:val="24"/>
          <w:lang w:val="uk-UA"/>
        </w:rPr>
        <w:t xml:space="preserve"> складатимуть:</w:t>
      </w:r>
    </w:p>
    <w:p w:rsidR="007E5FF6" w:rsidRDefault="0097669D" w:rsidP="007E5FF6">
      <w:pPr>
        <w:pStyle w:val="a6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споживачів 1 класу -  264,60</w:t>
      </w:r>
      <w:r w:rsidR="007E5FF6">
        <w:rPr>
          <w:rFonts w:ascii="Times New Roman" w:hAnsi="Times New Roman" w:cs="Times New Roman"/>
          <w:sz w:val="24"/>
          <w:szCs w:val="24"/>
          <w:lang w:val="uk-UA"/>
        </w:rPr>
        <w:t xml:space="preserve"> грн./</w:t>
      </w:r>
      <w:proofErr w:type="spellStart"/>
      <w:r w:rsidR="007E5FF6">
        <w:rPr>
          <w:rFonts w:ascii="Times New Roman" w:hAnsi="Times New Roman" w:cs="Times New Roman"/>
          <w:sz w:val="24"/>
          <w:szCs w:val="24"/>
          <w:lang w:val="uk-UA"/>
        </w:rPr>
        <w:t>мВтг</w:t>
      </w:r>
      <w:proofErr w:type="spellEnd"/>
      <w:r w:rsidR="007E5FF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E5FF6" w:rsidRDefault="007E5FF6" w:rsidP="007E5FF6">
      <w:pPr>
        <w:pStyle w:val="a6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споживачів 2 класу -  </w:t>
      </w:r>
      <w:r w:rsidR="0097669D">
        <w:rPr>
          <w:rFonts w:ascii="Times New Roman" w:hAnsi="Times New Roman" w:cs="Times New Roman"/>
          <w:sz w:val="24"/>
          <w:szCs w:val="24"/>
          <w:lang w:val="uk-UA"/>
        </w:rPr>
        <w:t xml:space="preserve">1589,47 </w:t>
      </w:r>
      <w:r>
        <w:rPr>
          <w:rFonts w:ascii="Times New Roman" w:hAnsi="Times New Roman" w:cs="Times New Roman"/>
          <w:sz w:val="24"/>
          <w:szCs w:val="24"/>
          <w:lang w:val="uk-UA"/>
        </w:rPr>
        <w:t>грн./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мВтг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5FF6" w:rsidRDefault="007E5FF6" w:rsidP="007E5FF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5FF6" w:rsidRPr="007E5FF6" w:rsidRDefault="007E5FF6" w:rsidP="001A080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Остаточний рівень тарифів на послуги з розподілу електроенергії на 2022 рік б</w:t>
      </w:r>
      <w:r w:rsidR="003F1361">
        <w:rPr>
          <w:rFonts w:ascii="Times New Roman" w:hAnsi="Times New Roman" w:cs="Times New Roman"/>
          <w:sz w:val="24"/>
          <w:szCs w:val="24"/>
          <w:lang w:val="uk-UA"/>
        </w:rPr>
        <w:t xml:space="preserve">уде затверджений Національною комісією, що здійснює державне регулювання у сферах енергетики та комунальних послуг, після розгляду поданих матеріалів. </w:t>
      </w:r>
    </w:p>
    <w:p w:rsidR="00AA019B" w:rsidRPr="00565F20" w:rsidRDefault="00AA019B" w:rsidP="00AA019B">
      <w:pPr>
        <w:pStyle w:val="a4"/>
        <w:pBdr>
          <w:bottom w:val="single" w:sz="12" w:space="1" w:color="auto"/>
        </w:pBdr>
        <w:rPr>
          <w:b/>
          <w:lang w:val="uk-UA"/>
        </w:rPr>
      </w:pPr>
    </w:p>
    <w:p w:rsidR="00A30457" w:rsidRPr="00AA019B" w:rsidRDefault="00A30457" w:rsidP="00805D34">
      <w:pPr>
        <w:pStyle w:val="a4"/>
        <w:jc w:val="both"/>
        <w:rPr>
          <w:lang w:val="uk-UA"/>
        </w:rPr>
      </w:pPr>
    </w:p>
    <w:p w:rsidR="00D25D10" w:rsidRPr="00AA0EA6" w:rsidRDefault="00D25D10" w:rsidP="00D25D10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</w:p>
    <w:p w:rsidR="00D25D10" w:rsidRPr="00B44CF6" w:rsidRDefault="00D25D10" w:rsidP="00D25D10">
      <w:pPr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63B89" w:rsidRPr="00D25D10" w:rsidRDefault="00F63B89">
      <w:pPr>
        <w:rPr>
          <w:lang w:val="uk-UA"/>
        </w:rPr>
      </w:pPr>
    </w:p>
    <w:sectPr w:rsidR="00F63B89" w:rsidRPr="00D2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299"/>
    <w:multiLevelType w:val="hybridMultilevel"/>
    <w:tmpl w:val="E188BE10"/>
    <w:lvl w:ilvl="0" w:tplc="87508842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CF658F7"/>
    <w:multiLevelType w:val="hybridMultilevel"/>
    <w:tmpl w:val="9E7C8474"/>
    <w:lvl w:ilvl="0" w:tplc="E4F08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10"/>
    <w:rsid w:val="000313DF"/>
    <w:rsid w:val="00052745"/>
    <w:rsid w:val="0009419E"/>
    <w:rsid w:val="000D1809"/>
    <w:rsid w:val="000F289E"/>
    <w:rsid w:val="000F391C"/>
    <w:rsid w:val="0012706B"/>
    <w:rsid w:val="001300AD"/>
    <w:rsid w:val="001A0801"/>
    <w:rsid w:val="001B7318"/>
    <w:rsid w:val="001E12FA"/>
    <w:rsid w:val="001E173D"/>
    <w:rsid w:val="0022091B"/>
    <w:rsid w:val="0026678E"/>
    <w:rsid w:val="002913C7"/>
    <w:rsid w:val="0029581F"/>
    <w:rsid w:val="002A3D66"/>
    <w:rsid w:val="002D46A2"/>
    <w:rsid w:val="003140A2"/>
    <w:rsid w:val="0033733C"/>
    <w:rsid w:val="003B36E7"/>
    <w:rsid w:val="003E3A1E"/>
    <w:rsid w:val="003E6E01"/>
    <w:rsid w:val="003F1361"/>
    <w:rsid w:val="00403FD1"/>
    <w:rsid w:val="004162D5"/>
    <w:rsid w:val="00417A9D"/>
    <w:rsid w:val="00422C31"/>
    <w:rsid w:val="004A096D"/>
    <w:rsid w:val="004A2617"/>
    <w:rsid w:val="004C1B07"/>
    <w:rsid w:val="004D4BE0"/>
    <w:rsid w:val="004D6762"/>
    <w:rsid w:val="00506885"/>
    <w:rsid w:val="0055221D"/>
    <w:rsid w:val="00565F20"/>
    <w:rsid w:val="00592E3B"/>
    <w:rsid w:val="00595186"/>
    <w:rsid w:val="005B05CC"/>
    <w:rsid w:val="005D4349"/>
    <w:rsid w:val="0065141F"/>
    <w:rsid w:val="00674DF4"/>
    <w:rsid w:val="006A0ACD"/>
    <w:rsid w:val="006B602B"/>
    <w:rsid w:val="006B6FFA"/>
    <w:rsid w:val="006B7199"/>
    <w:rsid w:val="006C0FA4"/>
    <w:rsid w:val="006D2F1B"/>
    <w:rsid w:val="00710A42"/>
    <w:rsid w:val="00765997"/>
    <w:rsid w:val="007812CC"/>
    <w:rsid w:val="007B1387"/>
    <w:rsid w:val="007B51F4"/>
    <w:rsid w:val="007B5261"/>
    <w:rsid w:val="007E5FF6"/>
    <w:rsid w:val="007F59F4"/>
    <w:rsid w:val="00805D34"/>
    <w:rsid w:val="00812EA8"/>
    <w:rsid w:val="00897D13"/>
    <w:rsid w:val="008A5F41"/>
    <w:rsid w:val="008D0AF1"/>
    <w:rsid w:val="008E3CEE"/>
    <w:rsid w:val="008E44EB"/>
    <w:rsid w:val="008F2986"/>
    <w:rsid w:val="008F76F9"/>
    <w:rsid w:val="0090706D"/>
    <w:rsid w:val="009309BA"/>
    <w:rsid w:val="00937064"/>
    <w:rsid w:val="0097669D"/>
    <w:rsid w:val="0099705A"/>
    <w:rsid w:val="009B2823"/>
    <w:rsid w:val="009C6F9C"/>
    <w:rsid w:val="009D0DDE"/>
    <w:rsid w:val="009D691C"/>
    <w:rsid w:val="00A05ABB"/>
    <w:rsid w:val="00A26AB3"/>
    <w:rsid w:val="00A30457"/>
    <w:rsid w:val="00A417CC"/>
    <w:rsid w:val="00A62EE3"/>
    <w:rsid w:val="00A87075"/>
    <w:rsid w:val="00AA019B"/>
    <w:rsid w:val="00AA0EA6"/>
    <w:rsid w:val="00B2149C"/>
    <w:rsid w:val="00B34D4C"/>
    <w:rsid w:val="00B477FD"/>
    <w:rsid w:val="00B6772A"/>
    <w:rsid w:val="00B7319D"/>
    <w:rsid w:val="00B811E5"/>
    <w:rsid w:val="00B96F72"/>
    <w:rsid w:val="00B97219"/>
    <w:rsid w:val="00BB568C"/>
    <w:rsid w:val="00C21B75"/>
    <w:rsid w:val="00C5099F"/>
    <w:rsid w:val="00C52E70"/>
    <w:rsid w:val="00C66240"/>
    <w:rsid w:val="00CF1346"/>
    <w:rsid w:val="00D03DDD"/>
    <w:rsid w:val="00D06961"/>
    <w:rsid w:val="00D25D10"/>
    <w:rsid w:val="00D47454"/>
    <w:rsid w:val="00D52C56"/>
    <w:rsid w:val="00D86017"/>
    <w:rsid w:val="00DA0860"/>
    <w:rsid w:val="00DB0FB9"/>
    <w:rsid w:val="00DF5E8F"/>
    <w:rsid w:val="00E56EA4"/>
    <w:rsid w:val="00EF12DE"/>
    <w:rsid w:val="00F63B89"/>
    <w:rsid w:val="00F923AC"/>
    <w:rsid w:val="00FB4CE7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10"/>
  </w:style>
  <w:style w:type="paragraph" w:styleId="2">
    <w:name w:val="heading 2"/>
    <w:basedOn w:val="a"/>
    <w:link w:val="20"/>
    <w:uiPriority w:val="9"/>
    <w:qFormat/>
    <w:rsid w:val="00D25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D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5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D10"/>
  </w:style>
  <w:style w:type="character" w:styleId="a5">
    <w:name w:val="Hyperlink"/>
    <w:basedOn w:val="a0"/>
    <w:uiPriority w:val="99"/>
    <w:unhideWhenUsed/>
    <w:rsid w:val="005522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10"/>
  </w:style>
  <w:style w:type="paragraph" w:styleId="2">
    <w:name w:val="heading 2"/>
    <w:basedOn w:val="a"/>
    <w:link w:val="20"/>
    <w:uiPriority w:val="9"/>
    <w:qFormat/>
    <w:rsid w:val="00D25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5D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5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D10"/>
  </w:style>
  <w:style w:type="character" w:styleId="a5">
    <w:name w:val="Hyperlink"/>
    <w:basedOn w:val="a0"/>
    <w:uiPriority w:val="99"/>
    <w:unhideWhenUsed/>
    <w:rsid w:val="005522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Тутутченко Оксана Степанiвна</cp:lastModifiedBy>
  <cp:revision>11</cp:revision>
  <cp:lastPrinted>2019-08-20T08:04:00Z</cp:lastPrinted>
  <dcterms:created xsi:type="dcterms:W3CDTF">2021-09-06T08:42:00Z</dcterms:created>
  <dcterms:modified xsi:type="dcterms:W3CDTF">2021-09-22T07:50:00Z</dcterms:modified>
</cp:coreProperties>
</file>